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41D8BAF2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 xml:space="preserve"> wymogów </w:t>
      </w:r>
      <w:r w:rsidR="00CE583A">
        <w:rPr>
          <w:rFonts w:asciiTheme="minorHAnsi" w:hAnsiTheme="minorHAnsi" w:cstheme="minorHAnsi"/>
          <w:b/>
          <w:sz w:val="24"/>
          <w:szCs w:val="24"/>
        </w:rPr>
        <w:t>Agencji Rozwoju Regionalnego w Starachowicach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055A68C3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  <w:t>……..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30862D7C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83A" w:rsidRPr="00CE58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Agencji Rozwoju Regionalnego w Starachowicach</w:t>
            </w:r>
            <w:r w:rsidR="00CE58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2FD06912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83A" w:rsidRPr="00CE58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Agencji Rozwoju Regionalnego w Starachowicach</w:t>
            </w:r>
            <w:r w:rsidR="00CE583A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footerReference w:type="default" r:id="rId7"/>
      <w:headerReference w:type="first" r:id="rId8"/>
      <w:footerReference w:type="first" r:id="rId9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FCC5" w14:textId="77777777" w:rsidR="000E694E" w:rsidRDefault="000E694E">
      <w:r>
        <w:separator/>
      </w:r>
    </w:p>
  </w:endnote>
  <w:endnote w:type="continuationSeparator" w:id="0">
    <w:p w14:paraId="2199B1B5" w14:textId="77777777" w:rsidR="000E694E" w:rsidRDefault="000E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A5FD" w14:textId="77777777" w:rsidR="000E694E" w:rsidRDefault="000E694E">
      <w:r>
        <w:separator/>
      </w:r>
    </w:p>
  </w:footnote>
  <w:footnote w:type="continuationSeparator" w:id="0">
    <w:p w14:paraId="3F5292A5" w14:textId="77777777" w:rsidR="000E694E" w:rsidRDefault="000E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C32ED"/>
    <w:rsid w:val="002D2A9C"/>
    <w:rsid w:val="003348C8"/>
    <w:rsid w:val="0036377B"/>
    <w:rsid w:val="0039676A"/>
    <w:rsid w:val="003F5EEF"/>
    <w:rsid w:val="00412D69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E04A1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E25"/>
    <w:rsid w:val="0090530B"/>
    <w:rsid w:val="0092415D"/>
    <w:rsid w:val="00942A2A"/>
    <w:rsid w:val="00945426"/>
    <w:rsid w:val="00992553"/>
    <w:rsid w:val="009B4671"/>
    <w:rsid w:val="009D65F3"/>
    <w:rsid w:val="00A13810"/>
    <w:rsid w:val="00A32920"/>
    <w:rsid w:val="00A5683E"/>
    <w:rsid w:val="00A632C0"/>
    <w:rsid w:val="00A9278D"/>
    <w:rsid w:val="00AD77A5"/>
    <w:rsid w:val="00B0772B"/>
    <w:rsid w:val="00B07B05"/>
    <w:rsid w:val="00B508D5"/>
    <w:rsid w:val="00BD6001"/>
    <w:rsid w:val="00BE025D"/>
    <w:rsid w:val="00BF7EC0"/>
    <w:rsid w:val="00C15EB7"/>
    <w:rsid w:val="00C31384"/>
    <w:rsid w:val="00C514CC"/>
    <w:rsid w:val="00C578A1"/>
    <w:rsid w:val="00C61F59"/>
    <w:rsid w:val="00C801A8"/>
    <w:rsid w:val="00CA4097"/>
    <w:rsid w:val="00CA5034"/>
    <w:rsid w:val="00CD413A"/>
    <w:rsid w:val="00CE074F"/>
    <w:rsid w:val="00CE1771"/>
    <w:rsid w:val="00CE25DA"/>
    <w:rsid w:val="00CE583A"/>
    <w:rsid w:val="00D21A98"/>
    <w:rsid w:val="00D51218"/>
    <w:rsid w:val="00D573B5"/>
    <w:rsid w:val="00D72C4E"/>
    <w:rsid w:val="00DD60AA"/>
    <w:rsid w:val="00DD6B59"/>
    <w:rsid w:val="00DE1016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Agnieszka Łebek</cp:lastModifiedBy>
  <cp:revision>2</cp:revision>
  <cp:lastPrinted>2022-06-10T10:32:00Z</cp:lastPrinted>
  <dcterms:created xsi:type="dcterms:W3CDTF">2024-09-10T09:06:00Z</dcterms:created>
  <dcterms:modified xsi:type="dcterms:W3CDTF">2024-09-10T09:06:00Z</dcterms:modified>
</cp:coreProperties>
</file>